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F238" w14:textId="05E6A411" w:rsidR="00E9034A" w:rsidRDefault="00E9034A" w:rsidP="0017398B">
      <w:pPr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E9034A">
        <w:rPr>
          <w:rFonts w:ascii="Arial" w:hAnsi="Arial" w:cs="Arial"/>
          <w:b/>
          <w:bCs/>
          <w:sz w:val="28"/>
          <w:szCs w:val="28"/>
          <w:u w:val="single"/>
          <w:lang w:val="en-US"/>
        </w:rPr>
        <w:t>Re-registration &amp; Addition to Scope</w:t>
      </w:r>
      <w:r w:rsid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2ECBB59E" w14:textId="0180A839" w:rsidR="00E9034A" w:rsidRPr="00DE025D" w:rsidRDefault="00E9034A" w:rsidP="00E9034A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 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050C97F9" w14:textId="77777777" w:rsidR="00E9034A" w:rsidRPr="00E9034A" w:rsidRDefault="00E9034A" w:rsidP="00E9034A">
      <w:pPr>
        <w:rPr>
          <w:rFonts w:ascii="Arial" w:hAnsi="Arial" w:cs="Arial"/>
          <w:b/>
          <w:bCs/>
          <w:u w:val="single"/>
        </w:rPr>
      </w:pPr>
      <w:r w:rsidRPr="00E9034A">
        <w:rPr>
          <w:rFonts w:ascii="Arial" w:hAnsi="Arial" w:cs="Arial"/>
          <w:b/>
          <w:bCs/>
          <w:u w:val="single"/>
          <w:lang w:val="en-US"/>
        </w:rPr>
        <w:t>Re-Registration</w:t>
      </w:r>
    </w:p>
    <w:p w14:paraId="4F2EE514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Lack of understanding about the process</w:t>
      </w:r>
    </w:p>
    <w:p w14:paraId="5516FDE4" w14:textId="08C634C1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Lack of certainty about whether an audit will be conducted and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timeframes.</w:t>
      </w:r>
    </w:p>
    <w:p w14:paraId="3449AF31" w14:textId="67128A25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Changing focus of ASQA audits</w:t>
      </w:r>
    </w:p>
    <w:p w14:paraId="49DA6595" w14:textId="77777777" w:rsidR="0017398B" w:rsidRPr="0017398B" w:rsidRDefault="0017398B" w:rsidP="0017398B">
      <w:pPr>
        <w:ind w:left="360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17398B">
        <w:rPr>
          <w:rFonts w:ascii="Arial" w:hAnsi="Arial" w:cs="Arial"/>
          <w:sz w:val="24"/>
          <w:szCs w:val="24"/>
          <w:u w:val="single"/>
          <w:lang w:val="en-US"/>
        </w:rPr>
        <w:t>Key things to remember.</w:t>
      </w:r>
    </w:p>
    <w:p w14:paraId="6EC36BB6" w14:textId="77777777" w:rsidR="0017398B" w:rsidRPr="00E9034A" w:rsidRDefault="0017398B" w:rsidP="0017398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Submit your application as early as possible to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minimise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issues where application is not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finalised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prior to expiry.</w:t>
      </w:r>
    </w:p>
    <w:p w14:paraId="5A0804E9" w14:textId="77777777" w:rsidR="0017398B" w:rsidRPr="00E9034A" w:rsidRDefault="0017398B" w:rsidP="0017398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Undertake a broad internal review prior to submitting application, to ensure you have time to address any issues prior to a (possible) audit.</w:t>
      </w:r>
    </w:p>
    <w:p w14:paraId="00B15483" w14:textId="77777777" w:rsidR="0017398B" w:rsidRPr="00E9034A" w:rsidRDefault="0017398B" w:rsidP="0017398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Ensure Industry engagement, trainer PD and validation are up to date.</w:t>
      </w:r>
    </w:p>
    <w:p w14:paraId="2E03CE5A" w14:textId="5B89A204" w:rsidR="0017398B" w:rsidRDefault="0017398B" w:rsidP="0017398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Consider wheth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E9034A">
        <w:rPr>
          <w:rFonts w:ascii="Arial" w:hAnsi="Arial" w:cs="Arial"/>
          <w:sz w:val="20"/>
          <w:szCs w:val="20"/>
          <w:lang w:val="en-US"/>
        </w:rPr>
        <w:t>r it is desirable to remove some items from scope (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eg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if no longer delivering)</w:t>
      </w:r>
    </w:p>
    <w:p w14:paraId="0F5C8FA8" w14:textId="77777777" w:rsidR="0017398B" w:rsidRDefault="0017398B" w:rsidP="00E9034A">
      <w:pPr>
        <w:rPr>
          <w:rFonts w:ascii="Arial" w:hAnsi="Arial" w:cs="Arial"/>
          <w:b/>
          <w:bCs/>
          <w:u w:val="single"/>
          <w:lang w:val="en-US"/>
        </w:rPr>
      </w:pPr>
    </w:p>
    <w:p w14:paraId="72BC20DF" w14:textId="63034435" w:rsidR="00E9034A" w:rsidRPr="00E9034A" w:rsidRDefault="00E9034A" w:rsidP="00E9034A">
      <w:pPr>
        <w:rPr>
          <w:rFonts w:ascii="Arial" w:hAnsi="Arial" w:cs="Arial"/>
          <w:b/>
          <w:bCs/>
          <w:u w:val="single"/>
          <w:lang w:val="en-US"/>
        </w:rPr>
      </w:pPr>
      <w:r w:rsidRPr="00E9034A">
        <w:rPr>
          <w:rFonts w:ascii="Arial" w:hAnsi="Arial" w:cs="Arial"/>
          <w:b/>
          <w:bCs/>
          <w:u w:val="single"/>
          <w:lang w:val="en-US"/>
        </w:rPr>
        <w:t>Addition to Scope</w:t>
      </w:r>
    </w:p>
    <w:p w14:paraId="3646043F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When to add (implicit vs. explicit)</w:t>
      </w:r>
    </w:p>
    <w:p w14:paraId="371DBAD5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Sourcing resources for new training products</w:t>
      </w:r>
    </w:p>
    <w:p w14:paraId="0A953DF8" w14:textId="6E7A1264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Lack of certainty about whether an audit will be conducted and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timeframes.</w:t>
      </w:r>
    </w:p>
    <w:p w14:paraId="1A771C9A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Changing focus of ASQA audits</w:t>
      </w:r>
    </w:p>
    <w:p w14:paraId="48CBE22E" w14:textId="77777777" w:rsidR="0017398B" w:rsidRPr="0017398B" w:rsidRDefault="0017398B" w:rsidP="0017398B">
      <w:pPr>
        <w:ind w:left="360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17398B">
        <w:rPr>
          <w:rFonts w:ascii="Arial" w:hAnsi="Arial" w:cs="Arial"/>
          <w:sz w:val="24"/>
          <w:szCs w:val="24"/>
          <w:u w:val="single"/>
          <w:lang w:val="en-US"/>
        </w:rPr>
        <w:t>Key things to remember.</w:t>
      </w:r>
    </w:p>
    <w:p w14:paraId="5F5D653A" w14:textId="7526A9B5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Remember implicit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scope.</w:t>
      </w:r>
    </w:p>
    <w:p w14:paraId="1D014DF8" w14:textId="7C5ACFA6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Ensure that you have all resources, including learning and assessment materials prior to submitting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application.</w:t>
      </w:r>
    </w:p>
    <w:p w14:paraId="5618EC26" w14:textId="740D4F25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Where the application includes product/s replacing those already on scope, submit your application as early as possible to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minimise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transition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issues.</w:t>
      </w:r>
    </w:p>
    <w:p w14:paraId="15284B78" w14:textId="357CDCFD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If CRICOS registered, remember to include CRICOS application at the same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time.</w:t>
      </w:r>
    </w:p>
    <w:p w14:paraId="18BACAEF" w14:textId="77777777" w:rsidR="00E9034A" w:rsidRPr="00E9034A" w:rsidRDefault="00E9034A" w:rsidP="00E9034A">
      <w:pPr>
        <w:rPr>
          <w:rFonts w:ascii="Arial" w:hAnsi="Arial" w:cs="Arial"/>
          <w:sz w:val="20"/>
          <w:szCs w:val="20"/>
          <w:lang w:val="en-US"/>
        </w:rPr>
      </w:pPr>
    </w:p>
    <w:p w14:paraId="6102D899" w14:textId="10B3D405" w:rsidR="00AC4E90" w:rsidRDefault="00E9034A" w:rsidP="00E9034A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E9034A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Transition of training packages and </w:t>
      </w:r>
      <w:r w:rsidR="005D38DF" w:rsidRPr="00E9034A">
        <w:rPr>
          <w:rFonts w:ascii="Arial" w:hAnsi="Arial" w:cs="Arial"/>
          <w:b/>
          <w:bCs/>
          <w:sz w:val="28"/>
          <w:szCs w:val="28"/>
          <w:u w:val="single"/>
          <w:lang w:val="en-US"/>
        </w:rPr>
        <w:t>unit’s</w:t>
      </w:r>
      <w:r w:rsid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7749C3E9" w14:textId="683703CC" w:rsidR="00E9034A" w:rsidRPr="0017398B" w:rsidRDefault="00E9034A" w:rsidP="0017398B">
      <w:pPr>
        <w:rPr>
          <w:rFonts w:ascii="Arial" w:hAnsi="Arial" w:cs="Arial"/>
          <w:sz w:val="20"/>
          <w:szCs w:val="20"/>
          <w:lang w:val="en-US"/>
        </w:rPr>
      </w:pPr>
    </w:p>
    <w:p w14:paraId="4E141037" w14:textId="3FC2559E" w:rsidR="00E9034A" w:rsidRPr="00DE025D" w:rsidRDefault="00E9034A" w:rsidP="00D5633C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DE025D">
        <w:rPr>
          <w:rFonts w:ascii="Arial" w:hAnsi="Arial" w:cs="Arial"/>
          <w:sz w:val="24"/>
          <w:szCs w:val="24"/>
          <w:u w:val="single"/>
          <w:lang w:val="en-US"/>
        </w:rPr>
        <w:t>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05D24996" w14:textId="2F64A709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Keeping track of transition dates, particularly where ASQA has applied an extended transition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period.</w:t>
      </w:r>
    </w:p>
    <w:p w14:paraId="6F5DA002" w14:textId="74CA4CAB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Managing transition for students that cannot complete the qualification before the expiry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date.</w:t>
      </w:r>
    </w:p>
    <w:p w14:paraId="75D0667B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Understanding the availability of credit transfer for non-equivalent units</w:t>
      </w:r>
    </w:p>
    <w:p w14:paraId="5E7BAE92" w14:textId="25636228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Confusion relating to imported units that are superseded in the ‘parent’ training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packag</w:t>
      </w:r>
      <w:r w:rsidR="005D38DF">
        <w:rPr>
          <w:rFonts w:ascii="Arial" w:hAnsi="Arial" w:cs="Arial"/>
          <w:sz w:val="20"/>
          <w:szCs w:val="20"/>
          <w:lang w:val="en-US"/>
        </w:rPr>
        <w:t>e.</w:t>
      </w:r>
    </w:p>
    <w:p w14:paraId="6B14BFFF" w14:textId="500E0022" w:rsidR="00E9034A" w:rsidRDefault="00E9034A" w:rsidP="00E9034A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5D38DF" w:rsidRPr="00DE025D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296A9D0B" w14:textId="5953EF2B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The best outcome for students is to be awarded the most recent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qualification.</w:t>
      </w:r>
    </w:p>
    <w:p w14:paraId="7A178336" w14:textId="5AF548A1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It is useful to subscribe to the scope of your RTO on training.gov.au to ensure you are aware of changes as soon as they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occur.</w:t>
      </w:r>
    </w:p>
    <w:p w14:paraId="7311B51C" w14:textId="359F8F42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Commencing the transition process as early as possible makes the process easier for the RTO and for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students.</w:t>
      </w:r>
    </w:p>
    <w:p w14:paraId="095DF52D" w14:textId="537A3506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Where non-equivalent units are involved, conduct your own analysis of the units to determine if credit transfer can be applied or RPL/gap training may be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required.</w:t>
      </w:r>
    </w:p>
    <w:p w14:paraId="74937884" w14:textId="142FE911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lastRenderedPageBreak/>
        <w:t xml:space="preserve">Where units specified in packaging rules are imported from another training package, transition may not be required and may not be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possible.</w:t>
      </w:r>
    </w:p>
    <w:p w14:paraId="1794A514" w14:textId="77777777" w:rsidR="0017398B" w:rsidRDefault="0017398B" w:rsidP="0017398B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u w:val="single"/>
          <w:lang w:val="en-US"/>
        </w:rPr>
        <w:t>Question on Notice.</w:t>
      </w:r>
    </w:p>
    <w:p w14:paraId="3C8DADC8" w14:textId="77777777" w:rsidR="0017398B" w:rsidRDefault="0017398B" w:rsidP="0017398B">
      <w:p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b/>
          <w:bCs/>
          <w:u w:val="single"/>
          <w:lang w:val="en-US"/>
        </w:rPr>
        <w:t>Imported units</w:t>
      </w:r>
      <w:r w:rsidRPr="00E9034A">
        <w:rPr>
          <w:rFonts w:ascii="Arial" w:hAnsi="Arial" w:cs="Arial"/>
          <w:b/>
          <w:bCs/>
          <w:u w:val="single"/>
          <w:lang w:val="en-US"/>
        </w:rPr>
        <w:br/>
      </w:r>
      <w:r w:rsidRPr="00E9034A">
        <w:rPr>
          <w:rFonts w:ascii="Arial" w:hAnsi="Arial" w:cs="Arial"/>
          <w:sz w:val="20"/>
          <w:szCs w:val="20"/>
          <w:lang w:val="en-US"/>
        </w:rPr>
        <w:t xml:space="preserve">If a student is enrolled into a qualification with an imported unit and they have passed the unit BEFORE the expiry </w:t>
      </w:r>
      <w:proofErr w:type="gramStart"/>
      <w:r w:rsidRPr="00E9034A">
        <w:rPr>
          <w:rFonts w:ascii="Arial" w:hAnsi="Arial" w:cs="Arial"/>
          <w:sz w:val="20"/>
          <w:szCs w:val="20"/>
          <w:lang w:val="en-US"/>
        </w:rPr>
        <w:t>date</w:t>
      </w:r>
      <w:proofErr w:type="gramEnd"/>
      <w:r w:rsidRPr="00E9034A">
        <w:rPr>
          <w:rFonts w:ascii="Arial" w:hAnsi="Arial" w:cs="Arial"/>
          <w:sz w:val="20"/>
          <w:szCs w:val="20"/>
          <w:lang w:val="en-US"/>
        </w:rPr>
        <w:t xml:space="preserve"> but they have yet to complete the qualification, do they have to be given a credit transfer into the newer superseded and equivalent unit or as they have already passed the unit, this will be okay?</w:t>
      </w:r>
    </w:p>
    <w:p w14:paraId="2250B05E" w14:textId="77777777" w:rsidR="0017398B" w:rsidRPr="00E9034A" w:rsidRDefault="0017398B" w:rsidP="0017398B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Where a unit is imported from another training package, the unit named in the qualification must be completed as-is and the unit expiry date does not apply to the imported unit.</w:t>
      </w:r>
    </w:p>
    <w:p w14:paraId="0C8AD068" w14:textId="77777777" w:rsidR="0017398B" w:rsidRPr="00E9034A" w:rsidRDefault="0017398B" w:rsidP="0017398B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If this is a core unit, it is not possible to replace the superseded unit with a later version.</w:t>
      </w:r>
    </w:p>
    <w:p w14:paraId="5C9C678F" w14:textId="4469D97B" w:rsidR="00E9034A" w:rsidRDefault="0017398B" w:rsidP="0017398B">
      <w:p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If the unit is an elective, it may be possible to replace it, depending on the packaging rules.</w:t>
      </w:r>
    </w:p>
    <w:p w14:paraId="1E4AC1B1" w14:textId="77777777" w:rsidR="0017398B" w:rsidRDefault="0017398B" w:rsidP="0017398B">
      <w:pPr>
        <w:rPr>
          <w:rFonts w:ascii="Arial" w:hAnsi="Arial" w:cs="Arial"/>
          <w:sz w:val="24"/>
          <w:szCs w:val="24"/>
          <w:lang w:val="en-US"/>
        </w:rPr>
      </w:pPr>
    </w:p>
    <w:p w14:paraId="1F760765" w14:textId="055A38D9" w:rsidR="00E9034A" w:rsidRPr="00E9034A" w:rsidRDefault="00E9034A" w:rsidP="00E9034A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E9034A">
        <w:rPr>
          <w:rFonts w:ascii="Arial" w:hAnsi="Arial" w:cs="Arial"/>
          <w:b/>
          <w:bCs/>
          <w:sz w:val="28"/>
          <w:szCs w:val="28"/>
          <w:u w:val="single"/>
          <w:lang w:val="en-US"/>
        </w:rPr>
        <w:t>AI Tools used in Assessment – Managing the Risk</w:t>
      </w:r>
      <w:r w:rsid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26B355D2" w14:textId="1D5B701C" w:rsidR="00E9034A" w:rsidRPr="00DE025D" w:rsidRDefault="00E9034A" w:rsidP="00E9034A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DE025D">
        <w:rPr>
          <w:rFonts w:ascii="Arial" w:hAnsi="Arial" w:cs="Arial"/>
          <w:sz w:val="24"/>
          <w:szCs w:val="24"/>
          <w:u w:val="single"/>
          <w:lang w:val="en-US"/>
        </w:rPr>
        <w:t>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56DBA705" w14:textId="3DEB6148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Very few people have asked specific questions about the use of AI in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assessment.</w:t>
      </w:r>
    </w:p>
    <w:p w14:paraId="43A357E9" w14:textId="0B6E9E75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Many people have asked about how to manage issues of plagiarism more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generally.</w:t>
      </w:r>
    </w:p>
    <w:p w14:paraId="30E83018" w14:textId="25EBE4B4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While people are generally aware of AI tools, the challenge most have is in understanding what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these tools</w:t>
      </w:r>
      <w:r w:rsidRPr="00E9034A">
        <w:rPr>
          <w:rFonts w:ascii="Arial" w:hAnsi="Arial" w:cs="Arial"/>
          <w:sz w:val="20"/>
          <w:szCs w:val="20"/>
          <w:lang w:val="en-US"/>
        </w:rPr>
        <w:t xml:space="preserve"> can and cannot do – there are lots of myths around.</w:t>
      </w:r>
    </w:p>
    <w:p w14:paraId="7A8046E6" w14:textId="41A033C7" w:rsidR="00E9034A" w:rsidRDefault="00E9034A" w:rsidP="00E9034A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5D38DF" w:rsidRPr="00DE025D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0F0D61A6" w14:textId="2491C47C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Plagiarism means using someone else’s work without giving them credit. In academic writing,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plagiarising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involves using words, ideas, or information from a source without referencing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it.</w:t>
      </w:r>
    </w:p>
    <w:p w14:paraId="0F67CB9D" w14:textId="05CB52A9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Use of AI tools in assessment, unless specifically allowed, is simply a tool that can be used to </w:t>
      </w:r>
      <w:proofErr w:type="spellStart"/>
      <w:r w:rsidR="005D38DF" w:rsidRPr="00E9034A">
        <w:rPr>
          <w:rFonts w:ascii="Arial" w:hAnsi="Arial" w:cs="Arial"/>
          <w:sz w:val="20"/>
          <w:szCs w:val="20"/>
          <w:lang w:val="en-US"/>
        </w:rPr>
        <w:t>plagiarise</w:t>
      </w:r>
      <w:proofErr w:type="spellEnd"/>
      <w:r w:rsidR="005D38DF" w:rsidRPr="00E9034A">
        <w:rPr>
          <w:rFonts w:ascii="Arial" w:hAnsi="Arial" w:cs="Arial"/>
          <w:sz w:val="20"/>
          <w:szCs w:val="20"/>
          <w:lang w:val="en-US"/>
        </w:rPr>
        <w:t>.</w:t>
      </w:r>
    </w:p>
    <w:p w14:paraId="1BFB0341" w14:textId="076FDEBA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The same tools and methods used to detect any form of plagiarism are useful in detecting plagiarism via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AI.</w:t>
      </w:r>
    </w:p>
    <w:p w14:paraId="59AD57ED" w14:textId="07B89774" w:rsid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Like any tool, AI has both positive and negative attributes.</w:t>
      </w:r>
    </w:p>
    <w:p w14:paraId="559D2487" w14:textId="77777777" w:rsidR="00E9034A" w:rsidRDefault="00E9034A" w:rsidP="00E9034A">
      <w:pPr>
        <w:rPr>
          <w:rFonts w:ascii="Arial" w:hAnsi="Arial" w:cs="Arial"/>
          <w:sz w:val="20"/>
          <w:szCs w:val="20"/>
          <w:lang w:val="en-US"/>
        </w:rPr>
      </w:pPr>
    </w:p>
    <w:p w14:paraId="6EE488E5" w14:textId="77777777" w:rsidR="001967E8" w:rsidRDefault="00E9034A" w:rsidP="001967E8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E9034A">
        <w:rPr>
          <w:rFonts w:ascii="Arial" w:hAnsi="Arial" w:cs="Arial"/>
          <w:b/>
          <w:bCs/>
          <w:sz w:val="28"/>
          <w:szCs w:val="28"/>
          <w:u w:val="single"/>
          <w:lang w:val="en-US"/>
        </w:rPr>
        <w:t>Credit Transfer &amp; RPL</w:t>
      </w:r>
      <w:r w:rsid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21F00874" w14:textId="39A0F505" w:rsidR="00E9034A" w:rsidRPr="001967E8" w:rsidRDefault="00E9034A" w:rsidP="0017398B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DE025D">
        <w:rPr>
          <w:rFonts w:ascii="Arial" w:hAnsi="Arial" w:cs="Arial"/>
          <w:sz w:val="24"/>
          <w:szCs w:val="24"/>
          <w:u w:val="single"/>
          <w:lang w:val="en-US"/>
        </w:rPr>
        <w:t>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114C0F41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Uncertainly about whether to use CT or RPL</w:t>
      </w:r>
    </w:p>
    <w:p w14:paraId="2DF1EA62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Lack of clarity about equivalence of units relating to CT</w:t>
      </w:r>
    </w:p>
    <w:p w14:paraId="34B98D2A" w14:textId="29B7E8DB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Students requesting CT or RPL part-way through a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course.</w:t>
      </w:r>
    </w:p>
    <w:p w14:paraId="67445576" w14:textId="0076FD24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Cost of RPL and students resisting paying fees</w:t>
      </w:r>
    </w:p>
    <w:p w14:paraId="710D2072" w14:textId="2ED52CB7" w:rsidR="00E9034A" w:rsidRDefault="00E9034A" w:rsidP="0017398B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5D38DF" w:rsidRPr="00DE025D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570BCCFA" w14:textId="1C3D760B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CT is assessment of a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product.</w:t>
      </w:r>
    </w:p>
    <w:p w14:paraId="7AC366F6" w14:textId="6E3A3CC8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RPL is assessment of a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learner.</w:t>
      </w:r>
    </w:p>
    <w:p w14:paraId="3551EAE5" w14:textId="77777777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Retain records of CT evaluations</w:t>
      </w:r>
    </w:p>
    <w:p w14:paraId="22AD3307" w14:textId="49648BB4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It is desirable that any CT and RPL is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finalised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prior to commencement of a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course.</w:t>
      </w:r>
    </w:p>
    <w:p w14:paraId="698B533B" w14:textId="6CFBEAFC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>Clear information prior t</w:t>
      </w:r>
      <w:r>
        <w:rPr>
          <w:rFonts w:ascii="Arial" w:hAnsi="Arial" w:cs="Arial"/>
          <w:sz w:val="20"/>
          <w:szCs w:val="20"/>
          <w:lang w:val="en-US"/>
        </w:rPr>
        <w:t>o</w:t>
      </w:r>
      <w:r w:rsidRPr="00E9034A">
        <w:rPr>
          <w:rFonts w:ascii="Arial" w:hAnsi="Arial" w:cs="Arial"/>
          <w:sz w:val="20"/>
          <w:szCs w:val="20"/>
          <w:lang w:val="en-US"/>
        </w:rPr>
        <w:t xml:space="preserve"> enrolment is important to </w:t>
      </w:r>
      <w:proofErr w:type="spellStart"/>
      <w:r w:rsidRPr="00E9034A">
        <w:rPr>
          <w:rFonts w:ascii="Arial" w:hAnsi="Arial" w:cs="Arial"/>
          <w:sz w:val="20"/>
          <w:szCs w:val="20"/>
          <w:lang w:val="en-US"/>
        </w:rPr>
        <w:t>minimise</w:t>
      </w:r>
      <w:proofErr w:type="spellEnd"/>
      <w:r w:rsidRPr="00E9034A">
        <w:rPr>
          <w:rFonts w:ascii="Arial" w:hAnsi="Arial" w:cs="Arial"/>
          <w:sz w:val="20"/>
          <w:szCs w:val="20"/>
          <w:lang w:val="en-US"/>
        </w:rPr>
        <w:t xml:space="preserve"> confusion during a learner’s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study.</w:t>
      </w:r>
    </w:p>
    <w:p w14:paraId="2104E769" w14:textId="2BFD673D" w:rsidR="00E9034A" w:rsidRPr="00E9034A" w:rsidRDefault="00E9034A" w:rsidP="00E9034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E9034A">
        <w:rPr>
          <w:rFonts w:ascii="Arial" w:hAnsi="Arial" w:cs="Arial"/>
          <w:sz w:val="20"/>
          <w:szCs w:val="20"/>
          <w:lang w:val="en-US"/>
        </w:rPr>
        <w:t xml:space="preserve">Consider the cost of processing RPL and what fees should apply to </w:t>
      </w:r>
      <w:r w:rsidR="005D38DF" w:rsidRPr="00E9034A">
        <w:rPr>
          <w:rFonts w:ascii="Arial" w:hAnsi="Arial" w:cs="Arial"/>
          <w:sz w:val="20"/>
          <w:szCs w:val="20"/>
          <w:lang w:val="en-US"/>
        </w:rPr>
        <w:t>learners.</w:t>
      </w:r>
    </w:p>
    <w:p w14:paraId="27145433" w14:textId="77777777" w:rsidR="00272FCF" w:rsidRDefault="00272FCF" w:rsidP="00272FCF">
      <w:pPr>
        <w:pStyle w:val="ListParagraph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</w:p>
    <w:p w14:paraId="1743F0BB" w14:textId="33E78DD7" w:rsidR="00272FCF" w:rsidRDefault="00272FCF" w:rsidP="00272FCF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lastRenderedPageBreak/>
        <w:t>Key Marketing Considerations</w:t>
      </w: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1C86B94D" w14:textId="11AAA881" w:rsidR="00272FCF" w:rsidRPr="00DE025D" w:rsidRDefault="00272FCF" w:rsidP="0017398B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DE025D">
        <w:rPr>
          <w:rFonts w:ascii="Arial" w:hAnsi="Arial" w:cs="Arial"/>
          <w:sz w:val="24"/>
          <w:szCs w:val="24"/>
          <w:u w:val="single"/>
          <w:lang w:val="en-US"/>
        </w:rPr>
        <w:t>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28C7674E" w14:textId="37E08296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What information must be included in marketing/</w:t>
      </w:r>
      <w:r w:rsidR="005D38DF" w:rsidRPr="00272FCF">
        <w:rPr>
          <w:rFonts w:ascii="Arial" w:hAnsi="Arial" w:cs="Arial"/>
          <w:sz w:val="20"/>
          <w:szCs w:val="20"/>
          <w:lang w:val="en-US"/>
        </w:rPr>
        <w:t>advertising?</w:t>
      </w:r>
    </w:p>
    <w:p w14:paraId="04D2DE07" w14:textId="0368192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Who can advertise on behalf of an RTO and how this must be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represented?</w:t>
      </w:r>
    </w:p>
    <w:p w14:paraId="289C58FC" w14:textId="7777777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Do I have to include my RTO/CRICOS code on EVERYTHING?</w:t>
      </w:r>
    </w:p>
    <w:p w14:paraId="0501437D" w14:textId="110E75FE" w:rsid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Challenges with social media formats</w:t>
      </w:r>
    </w:p>
    <w:p w14:paraId="27135623" w14:textId="6E0FEF1D" w:rsidR="00272FCF" w:rsidRDefault="00272FCF" w:rsidP="0017398B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272FCF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5D38DF" w:rsidRPr="00272FCF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422DBB7F" w14:textId="4010B6B9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There is a lot of misinformation around about what is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required.</w:t>
      </w:r>
    </w:p>
    <w:p w14:paraId="6F7ED8FE" w14:textId="1AB7F6ED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Read the standards yourself and make sure you are clear on your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obligations.</w:t>
      </w:r>
    </w:p>
    <w:p w14:paraId="70576AA7" w14:textId="6DD38B43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Be cautious about marketing on social media and consider how your information may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spread.</w:t>
      </w:r>
    </w:p>
    <w:p w14:paraId="65161B0B" w14:textId="77777777" w:rsidR="00272FCF" w:rsidRPr="00272FCF" w:rsidRDefault="00272FCF" w:rsidP="00272FCF">
      <w:pPr>
        <w:rPr>
          <w:rFonts w:ascii="Arial" w:hAnsi="Arial" w:cs="Arial"/>
          <w:sz w:val="24"/>
          <w:szCs w:val="24"/>
          <w:lang w:val="en-US"/>
        </w:rPr>
      </w:pPr>
    </w:p>
    <w:p w14:paraId="2F2CBCD8" w14:textId="738DF019" w:rsidR="00272FCF" w:rsidRDefault="00272FCF" w:rsidP="00272FCF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>Industry</w:t>
      </w: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</w:t>
      </w:r>
      <w:r w:rsidRPr="00272FCF">
        <w:rPr>
          <w:rFonts w:ascii="Arial" w:hAnsi="Arial" w:cs="Arial"/>
          <w:b/>
          <w:bCs/>
          <w:sz w:val="28"/>
          <w:szCs w:val="28"/>
          <w:u w:val="single"/>
          <w:lang w:val="en-US"/>
        </w:rPr>
        <w:t>Consultation &amp; Engagement</w:t>
      </w: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M/L</w:t>
      </w:r>
    </w:p>
    <w:p w14:paraId="2163E00B" w14:textId="5B0F1B5A" w:rsidR="00272FCF" w:rsidRPr="00272FCF" w:rsidRDefault="00272FCF" w:rsidP="0017398B">
      <w:pPr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DE025D">
        <w:rPr>
          <w:rFonts w:ascii="Arial" w:hAnsi="Arial" w:cs="Arial"/>
          <w:sz w:val="24"/>
          <w:szCs w:val="24"/>
          <w:u w:val="single"/>
          <w:lang w:val="en-US"/>
        </w:rPr>
        <w:t>Common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DE025D">
        <w:rPr>
          <w:rFonts w:ascii="Arial" w:hAnsi="Arial" w:cs="Arial"/>
          <w:sz w:val="24"/>
          <w:szCs w:val="24"/>
          <w:u w:val="single"/>
          <w:lang w:val="en-US"/>
        </w:rPr>
        <w:t>Challenges</w:t>
      </w:r>
      <w:r w:rsidR="005D38DF">
        <w:rPr>
          <w:rFonts w:ascii="Arial" w:hAnsi="Arial" w:cs="Arial"/>
          <w:sz w:val="24"/>
          <w:szCs w:val="24"/>
          <w:u w:val="single"/>
          <w:lang w:val="en-US"/>
        </w:rPr>
        <w:t>.</w:t>
      </w:r>
    </w:p>
    <w:p w14:paraId="0AE3EC5A" w14:textId="5D39B18D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Uncertainty about who ‘industry’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is.</w:t>
      </w:r>
    </w:p>
    <w:p w14:paraId="64EEE9B2" w14:textId="398516A2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Difficulty in getting industry to be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involved.</w:t>
      </w:r>
    </w:p>
    <w:p w14:paraId="3C8849ED" w14:textId="7777777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How often to undertake engagement activities</w:t>
      </w:r>
    </w:p>
    <w:p w14:paraId="5388D107" w14:textId="39385FBA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How to demonstrate industry engagement has informed strategies for training &amp; assessment and currency of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trainers.</w:t>
      </w:r>
    </w:p>
    <w:p w14:paraId="1377F051" w14:textId="520C9DFB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Whether it is OK for trainers to provide industry feedback.</w:t>
      </w:r>
    </w:p>
    <w:p w14:paraId="504485F7" w14:textId="627CFBB6" w:rsidR="00272FCF" w:rsidRDefault="00272FCF" w:rsidP="0017398B">
      <w:pPr>
        <w:ind w:left="360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272FCF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5D38DF" w:rsidRPr="00272FCF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5C3C32D1" w14:textId="7777777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Regardless of how you choose to manage engagement, it is critical that you have a plan and that you follow the plan!</w:t>
      </w:r>
    </w:p>
    <w:p w14:paraId="0C7661C2" w14:textId="40127A46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Don’t forget to include trainer currency in your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engagement.</w:t>
      </w:r>
    </w:p>
    <w:p w14:paraId="3490FD2F" w14:textId="7777777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Document:</w:t>
      </w:r>
    </w:p>
    <w:p w14:paraId="394DC645" w14:textId="3ADE2509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 xml:space="preserve">The feedback </w:t>
      </w:r>
      <w:r w:rsidR="005D38DF" w:rsidRPr="00272FCF">
        <w:rPr>
          <w:rFonts w:ascii="Arial" w:hAnsi="Arial" w:cs="Arial"/>
          <w:sz w:val="20"/>
          <w:szCs w:val="20"/>
          <w:lang w:val="en-US"/>
        </w:rPr>
        <w:t>received.</w:t>
      </w:r>
    </w:p>
    <w:p w14:paraId="77BC28DE" w14:textId="77777777" w:rsidR="00272FCF" w:rsidRP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Your consideration of the feedback</w:t>
      </w:r>
    </w:p>
    <w:p w14:paraId="0878CAC2" w14:textId="77777777" w:rsidR="00272FCF" w:rsidRDefault="00272FCF" w:rsidP="00272FC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272FCF">
        <w:rPr>
          <w:rFonts w:ascii="Arial" w:hAnsi="Arial" w:cs="Arial"/>
          <w:sz w:val="20"/>
          <w:szCs w:val="20"/>
          <w:lang w:val="en-US"/>
        </w:rPr>
        <w:t>Any actions you take in response, or why no action was taken.</w:t>
      </w:r>
    </w:p>
    <w:p w14:paraId="593C2172" w14:textId="77777777" w:rsidR="00272FCF" w:rsidRDefault="00272FCF" w:rsidP="00272FCF">
      <w:pPr>
        <w:rPr>
          <w:rFonts w:ascii="Arial" w:hAnsi="Arial" w:cs="Arial"/>
          <w:sz w:val="20"/>
          <w:szCs w:val="20"/>
          <w:lang w:val="en-US"/>
        </w:rPr>
      </w:pPr>
    </w:p>
    <w:p w14:paraId="2AD504DB" w14:textId="77777777" w:rsidR="00272FCF" w:rsidRPr="00272FCF" w:rsidRDefault="00272FCF" w:rsidP="00272FCF">
      <w:pPr>
        <w:rPr>
          <w:rFonts w:ascii="Arial" w:hAnsi="Arial" w:cs="Arial"/>
          <w:sz w:val="20"/>
          <w:szCs w:val="20"/>
          <w:lang w:val="en-US"/>
        </w:rPr>
      </w:pPr>
    </w:p>
    <w:p w14:paraId="2A77BD31" w14:textId="77777777" w:rsidR="00272FCF" w:rsidRDefault="00272FCF" w:rsidP="00272FCF">
      <w:pPr>
        <w:rPr>
          <w:rFonts w:ascii="Arial" w:hAnsi="Arial" w:cs="Arial"/>
          <w:sz w:val="20"/>
          <w:szCs w:val="20"/>
          <w:lang w:val="en-US"/>
        </w:rPr>
      </w:pPr>
    </w:p>
    <w:p w14:paraId="38498CFD" w14:textId="77777777" w:rsidR="00272FCF" w:rsidRPr="00272FCF" w:rsidRDefault="00272FCF" w:rsidP="00272FCF">
      <w:pPr>
        <w:rPr>
          <w:rFonts w:ascii="Arial" w:hAnsi="Arial" w:cs="Arial"/>
          <w:sz w:val="20"/>
          <w:szCs w:val="20"/>
          <w:lang w:val="en-US"/>
        </w:rPr>
      </w:pPr>
    </w:p>
    <w:sectPr w:rsidR="00272FCF" w:rsidRPr="00272FCF" w:rsidSect="001967E8">
      <w:headerReference w:type="default" r:id="rId10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2C008" w14:textId="77777777" w:rsidR="0017398B" w:rsidRDefault="0017398B" w:rsidP="0017398B">
      <w:pPr>
        <w:spacing w:after="0" w:line="240" w:lineRule="auto"/>
      </w:pPr>
      <w:r>
        <w:separator/>
      </w:r>
    </w:p>
  </w:endnote>
  <w:endnote w:type="continuationSeparator" w:id="0">
    <w:p w14:paraId="21D1D8B5" w14:textId="77777777" w:rsidR="0017398B" w:rsidRDefault="0017398B" w:rsidP="0017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0D2D" w14:textId="77777777" w:rsidR="0017398B" w:rsidRDefault="0017398B" w:rsidP="0017398B">
      <w:pPr>
        <w:spacing w:after="0" w:line="240" w:lineRule="auto"/>
      </w:pPr>
      <w:r>
        <w:separator/>
      </w:r>
    </w:p>
  </w:footnote>
  <w:footnote w:type="continuationSeparator" w:id="0">
    <w:p w14:paraId="354130BA" w14:textId="77777777" w:rsidR="0017398B" w:rsidRDefault="0017398B" w:rsidP="0017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8486" w14:textId="6DA2F9C6" w:rsidR="0017398B" w:rsidRDefault="0017398B">
    <w:pPr>
      <w:pStyle w:val="Header"/>
      <w:rPr>
        <w:b/>
        <w:bCs/>
        <w:sz w:val="32"/>
        <w:szCs w:val="32"/>
        <w:lang w:val="en-US"/>
      </w:rPr>
    </w:pPr>
    <w:r w:rsidRPr="0017398B">
      <w:rPr>
        <w:b/>
        <w:bCs/>
        <w:sz w:val="32"/>
        <w:szCs w:val="32"/>
        <w:lang w:val="en-US"/>
      </w:rPr>
      <w:t>Compliance/Management existing MSH topics</w:t>
    </w:r>
  </w:p>
  <w:p w14:paraId="78E59523" w14:textId="77777777" w:rsidR="0017398B" w:rsidRPr="0017398B" w:rsidRDefault="0017398B">
    <w:pPr>
      <w:pStyle w:val="Header"/>
      <w:rPr>
        <w:b/>
        <w:bCs/>
        <w:sz w:val="32"/>
        <w:szCs w:val="3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6753"/>
    <w:multiLevelType w:val="hybridMultilevel"/>
    <w:tmpl w:val="3A7C3AE6"/>
    <w:lvl w:ilvl="0" w:tplc="E5BE5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08A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948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0A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0E7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669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C4C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2C3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16B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1D2A8C"/>
    <w:multiLevelType w:val="hybridMultilevel"/>
    <w:tmpl w:val="FEBC2E2E"/>
    <w:lvl w:ilvl="0" w:tplc="20907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A42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745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BC5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CE9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8B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86C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F8C0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4E4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AC0A05"/>
    <w:multiLevelType w:val="hybridMultilevel"/>
    <w:tmpl w:val="45C863F8"/>
    <w:lvl w:ilvl="0" w:tplc="B4000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9691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184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7EC3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E2FF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941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4C8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3C5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EB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4380A73"/>
    <w:multiLevelType w:val="hybridMultilevel"/>
    <w:tmpl w:val="1E26F724"/>
    <w:lvl w:ilvl="0" w:tplc="CA8AC8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C8BFC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EA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4AE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0AE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5E2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C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CA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9072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EA04E36"/>
    <w:multiLevelType w:val="hybridMultilevel"/>
    <w:tmpl w:val="63E834A0"/>
    <w:lvl w:ilvl="0" w:tplc="5BA05B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B0A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22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105C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904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BC0E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A69C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684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301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4F4DEA"/>
    <w:multiLevelType w:val="hybridMultilevel"/>
    <w:tmpl w:val="A94EB864"/>
    <w:lvl w:ilvl="0" w:tplc="617EA5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F45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72E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383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BEBA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7C9E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70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743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6C5F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24F1927"/>
    <w:multiLevelType w:val="hybridMultilevel"/>
    <w:tmpl w:val="27ECCF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1A8B"/>
    <w:multiLevelType w:val="hybridMultilevel"/>
    <w:tmpl w:val="D56AD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3369D"/>
    <w:multiLevelType w:val="hybridMultilevel"/>
    <w:tmpl w:val="ADC0383A"/>
    <w:lvl w:ilvl="0" w:tplc="55DA0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C8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A43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9433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EA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4F7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908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EA6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98C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1F447D6"/>
    <w:multiLevelType w:val="hybridMultilevel"/>
    <w:tmpl w:val="348C5056"/>
    <w:lvl w:ilvl="0" w:tplc="8C6A5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BC1C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EF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547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682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982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148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F8D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01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2CD36B2"/>
    <w:multiLevelType w:val="hybridMultilevel"/>
    <w:tmpl w:val="2B5029C6"/>
    <w:lvl w:ilvl="0" w:tplc="1D722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54C2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CAF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A69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2A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DA5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F41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1EC8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D00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A192997"/>
    <w:multiLevelType w:val="hybridMultilevel"/>
    <w:tmpl w:val="8C7CF034"/>
    <w:lvl w:ilvl="0" w:tplc="93467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48AE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7E03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41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48D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BEF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52E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E81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887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A7E65E2"/>
    <w:multiLevelType w:val="hybridMultilevel"/>
    <w:tmpl w:val="C80E5F22"/>
    <w:lvl w:ilvl="0" w:tplc="0F0CB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7027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A0DE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64E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C5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5A52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725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FE0F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96F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04806D1"/>
    <w:multiLevelType w:val="hybridMultilevel"/>
    <w:tmpl w:val="80F0DBFA"/>
    <w:lvl w:ilvl="0" w:tplc="B5786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45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AA88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3C9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20B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A61A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088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363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FCB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9884F1F"/>
    <w:multiLevelType w:val="hybridMultilevel"/>
    <w:tmpl w:val="5222601C"/>
    <w:lvl w:ilvl="0" w:tplc="AE404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620E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2E41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072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380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DCC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EAC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525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082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257581">
    <w:abstractNumId w:val="7"/>
  </w:num>
  <w:num w:numId="2" w16cid:durableId="1914310634">
    <w:abstractNumId w:val="14"/>
  </w:num>
  <w:num w:numId="3" w16cid:durableId="397091303">
    <w:abstractNumId w:val="13"/>
  </w:num>
  <w:num w:numId="4" w16cid:durableId="1559317847">
    <w:abstractNumId w:val="6"/>
  </w:num>
  <w:num w:numId="5" w16cid:durableId="364719374">
    <w:abstractNumId w:val="4"/>
  </w:num>
  <w:num w:numId="6" w16cid:durableId="152063844">
    <w:abstractNumId w:val="12"/>
  </w:num>
  <w:num w:numId="7" w16cid:durableId="1428575683">
    <w:abstractNumId w:val="2"/>
  </w:num>
  <w:num w:numId="8" w16cid:durableId="500242429">
    <w:abstractNumId w:val="9"/>
  </w:num>
  <w:num w:numId="9" w16cid:durableId="348410747">
    <w:abstractNumId w:val="1"/>
  </w:num>
  <w:num w:numId="10" w16cid:durableId="934166855">
    <w:abstractNumId w:val="8"/>
  </w:num>
  <w:num w:numId="11" w16cid:durableId="355933001">
    <w:abstractNumId w:val="10"/>
  </w:num>
  <w:num w:numId="12" w16cid:durableId="1962881760">
    <w:abstractNumId w:val="5"/>
  </w:num>
  <w:num w:numId="13" w16cid:durableId="49813770">
    <w:abstractNumId w:val="11"/>
  </w:num>
  <w:num w:numId="14" w16cid:durableId="790519209">
    <w:abstractNumId w:val="3"/>
  </w:num>
  <w:num w:numId="15" w16cid:durableId="10199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4A"/>
    <w:rsid w:val="0017398B"/>
    <w:rsid w:val="00182FDA"/>
    <w:rsid w:val="001967E8"/>
    <w:rsid w:val="00272FCF"/>
    <w:rsid w:val="002E2FEA"/>
    <w:rsid w:val="00457A10"/>
    <w:rsid w:val="005D38DF"/>
    <w:rsid w:val="006D7895"/>
    <w:rsid w:val="00804664"/>
    <w:rsid w:val="00AC4E90"/>
    <w:rsid w:val="00D5633C"/>
    <w:rsid w:val="00E9034A"/>
    <w:rsid w:val="00F0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CCF36"/>
  <w15:chartTrackingRefBased/>
  <w15:docId w15:val="{A8C4A4B6-73D4-433D-A9AE-3D56743D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34A"/>
  </w:style>
  <w:style w:type="paragraph" w:styleId="Heading1">
    <w:name w:val="heading 1"/>
    <w:basedOn w:val="Normal"/>
    <w:next w:val="Normal"/>
    <w:link w:val="Heading1Char"/>
    <w:uiPriority w:val="9"/>
    <w:qFormat/>
    <w:rsid w:val="00E90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3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3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98B"/>
  </w:style>
  <w:style w:type="paragraph" w:styleId="Footer">
    <w:name w:val="footer"/>
    <w:basedOn w:val="Normal"/>
    <w:link w:val="FooterChar"/>
    <w:uiPriority w:val="99"/>
    <w:unhideWhenUsed/>
    <w:rsid w:val="00173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7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8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9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3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4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7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55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7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5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60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7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20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7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3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3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9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9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0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5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8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5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6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15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2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0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04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4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0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8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4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0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1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15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0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3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7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0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8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6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30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6" ma:contentTypeDescription="Create a new document." ma:contentTypeScope="" ma:versionID="174bab7bee98b1ceca18800626c15ea0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d15e08dc56d961b014c308f560f81066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279ACE-C689-495E-A2D7-66AE48DF4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915e0-6587-487a-a176-0126d0a50e16"/>
    <ds:schemaRef ds:uri="8377abcd-6460-4a16-bfd2-706faa0ee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C0EE50-E5A8-4A67-B2A1-0C61F8E809F2}">
  <ds:schemaRefs>
    <ds:schemaRef ds:uri="http://schemas.microsoft.com/office/2006/metadata/properties"/>
    <ds:schemaRef ds:uri="http://schemas.microsoft.com/office/infopath/2007/PartnerControls"/>
    <ds:schemaRef ds:uri="8377abcd-6460-4a16-bfd2-706faa0ee4e0"/>
    <ds:schemaRef ds:uri="61e915e0-6587-487a-a176-0126d0a50e16"/>
  </ds:schemaRefs>
</ds:datastoreItem>
</file>

<file path=customXml/itemProps3.xml><?xml version="1.0" encoding="utf-8"?>
<ds:datastoreItem xmlns:ds="http://schemas.openxmlformats.org/officeDocument/2006/customXml" ds:itemID="{96FF9B2B-272A-4358-8829-4508F08DFF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Errin</dc:creator>
  <cp:keywords/>
  <dc:description/>
  <cp:lastModifiedBy>Leonie Davis</cp:lastModifiedBy>
  <cp:revision>6</cp:revision>
  <dcterms:created xsi:type="dcterms:W3CDTF">2025-02-27T04:30:00Z</dcterms:created>
  <dcterms:modified xsi:type="dcterms:W3CDTF">2025-05-28T03:27:00Z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  <property fmtid="{D5CDD505-2E9C-101B-9397-08002B2CF9AE}" pid="3" name="MediaServiceImageTags">
    <vt:lpwstr/>
  </property>
</Properties>
</file>